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AAF22" w14:textId="283AD5AE" w:rsidR="00A77DD5" w:rsidRPr="00B266B0" w:rsidRDefault="00A77DD5" w:rsidP="00A77DD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F0880" w:rsidRPr="00EF0880">
        <w:rPr>
          <w:bCs/>
          <w:noProof w:val="0"/>
          <w:sz w:val="24"/>
          <w:szCs w:val="24"/>
        </w:rPr>
        <w:t>1913211</w:t>
      </w:r>
      <w:bookmarkStart w:id="0" w:name="_GoBack"/>
      <w:bookmarkEnd w:id="0"/>
    </w:p>
    <w:p w14:paraId="6E73DFD0" w14:textId="46F83512" w:rsidR="006A463E" w:rsidRPr="00465587" w:rsidRDefault="00A77DD5" w:rsidP="00A77DD5">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6A463E">
        <w:rPr>
          <w:rFonts w:eastAsia="SimSun"/>
          <w:noProof w:val="0"/>
          <w:sz w:val="24"/>
          <w:szCs w:val="24"/>
          <w:lang w:eastAsia="zh-CN"/>
        </w:rPr>
        <w:tab/>
      </w:r>
      <w:r w:rsidR="00FD387D" w:rsidRPr="00FD387D">
        <w:rPr>
          <w:rFonts w:eastAsia="SimSun"/>
          <w:i/>
          <w:noProof w:val="0"/>
          <w:sz w:val="24"/>
          <w:szCs w:val="24"/>
          <w:lang w:eastAsia="zh-CN"/>
        </w:rPr>
        <w:t>Revision</w:t>
      </w:r>
      <w:r w:rsidR="006A463E" w:rsidRPr="00FD387D">
        <w:rPr>
          <w:rFonts w:eastAsia="SimSun"/>
          <w:i/>
          <w:noProof w:val="0"/>
          <w:sz w:val="24"/>
          <w:szCs w:val="24"/>
          <w:lang w:eastAsia="zh-CN"/>
        </w:rPr>
        <w:t xml:space="preserve"> of</w:t>
      </w:r>
      <w:r w:rsidR="006A463E" w:rsidRPr="00FD387D">
        <w:rPr>
          <w:rFonts w:eastAsia="SimSun"/>
          <w:noProof w:val="0"/>
          <w:sz w:val="24"/>
          <w:szCs w:val="24"/>
          <w:lang w:eastAsia="zh-CN"/>
        </w:rPr>
        <w:t xml:space="preserve"> </w:t>
      </w:r>
      <w:r w:rsidR="006A463E" w:rsidRPr="00FD387D">
        <w:rPr>
          <w:rFonts w:eastAsia="SimSun"/>
          <w:i/>
          <w:noProof w:val="0"/>
          <w:sz w:val="24"/>
          <w:szCs w:val="24"/>
          <w:lang w:eastAsia="zh-CN"/>
        </w:rPr>
        <w:t>R2-190</w:t>
      </w:r>
      <w:r w:rsidR="00F54E54" w:rsidRPr="00FD387D">
        <w:rPr>
          <w:rFonts w:eastAsia="SimSun"/>
          <w:i/>
          <w:noProof w:val="0"/>
          <w:sz w:val="24"/>
          <w:szCs w:val="24"/>
          <w:lang w:eastAsia="zh-CN"/>
        </w:rPr>
        <w:t>7062</w:t>
      </w:r>
    </w:p>
    <w:p w14:paraId="38A0ACBC" w14:textId="77777777" w:rsidR="00CD4C7B" w:rsidRPr="00B266B0" w:rsidRDefault="00CD4C7B" w:rsidP="00CD4C7B">
      <w:pPr>
        <w:pStyle w:val="Header"/>
        <w:rPr>
          <w:bCs/>
          <w:noProof w:val="0"/>
          <w:sz w:val="24"/>
        </w:rPr>
      </w:pPr>
    </w:p>
    <w:p w14:paraId="070F8643" w14:textId="77777777" w:rsidR="00CD4C7B" w:rsidRPr="00B266B0" w:rsidRDefault="00CD4C7B" w:rsidP="00CD4C7B">
      <w:pPr>
        <w:pStyle w:val="Header"/>
        <w:rPr>
          <w:bCs/>
          <w:noProof w:val="0"/>
          <w:sz w:val="24"/>
        </w:rPr>
      </w:pPr>
    </w:p>
    <w:p w14:paraId="799E6345" w14:textId="1A84C833" w:rsidR="00CD4C7B" w:rsidRPr="00B266B0" w:rsidRDefault="00CD4C7B" w:rsidP="00CD4C7B">
      <w:pPr>
        <w:pStyle w:val="CRCoverPage"/>
        <w:tabs>
          <w:tab w:val="left" w:pos="1985"/>
        </w:tabs>
        <w:rPr>
          <w:rFonts w:cs="Arial"/>
          <w:b/>
          <w:bCs/>
          <w:sz w:val="24"/>
          <w:lang w:eastAsia="ja-JP"/>
        </w:rPr>
      </w:pPr>
      <w:r w:rsidRPr="00BF2B10">
        <w:rPr>
          <w:rFonts w:cs="Arial"/>
          <w:b/>
          <w:bCs/>
          <w:sz w:val="24"/>
        </w:rPr>
        <w:t>Agenda item:</w:t>
      </w:r>
      <w:r w:rsidRPr="00BF2B10">
        <w:rPr>
          <w:rFonts w:cs="Arial"/>
          <w:b/>
          <w:bCs/>
          <w:sz w:val="24"/>
        </w:rPr>
        <w:tab/>
      </w:r>
      <w:r w:rsidR="00A77DD5">
        <w:rPr>
          <w:rFonts w:cs="Arial"/>
          <w:b/>
          <w:bCs/>
          <w:sz w:val="24"/>
          <w:lang w:eastAsia="ja-JP"/>
        </w:rPr>
        <w:t>6</w:t>
      </w:r>
      <w:r w:rsidR="00944838" w:rsidRPr="00BF2B10">
        <w:rPr>
          <w:rFonts w:cs="Arial"/>
          <w:b/>
          <w:bCs/>
          <w:sz w:val="24"/>
          <w:lang w:eastAsia="ja-JP"/>
        </w:rPr>
        <w:t>.1.</w:t>
      </w:r>
      <w:r w:rsidR="008D3AE5" w:rsidRPr="00BF2B10">
        <w:rPr>
          <w:rFonts w:cs="Arial"/>
          <w:b/>
          <w:bCs/>
          <w:sz w:val="24"/>
          <w:lang w:eastAsia="ja-JP"/>
        </w:rPr>
        <w:t>4</w:t>
      </w:r>
      <w:r w:rsidR="00A77DD5">
        <w:rPr>
          <w:rFonts w:cs="Arial"/>
          <w:b/>
          <w:bCs/>
          <w:sz w:val="24"/>
          <w:lang w:eastAsia="ja-JP"/>
        </w:rPr>
        <w:t>.2</w:t>
      </w:r>
    </w:p>
    <w:p w14:paraId="4C53515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3645970" w14:textId="3325B84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4838">
        <w:rPr>
          <w:rFonts w:ascii="Arial" w:hAnsi="Arial" w:cs="Arial"/>
          <w:b/>
          <w:bCs/>
          <w:sz w:val="24"/>
        </w:rPr>
        <w:t xml:space="preserve">Discussion on </w:t>
      </w:r>
      <w:r w:rsidR="000E1D7E">
        <w:rPr>
          <w:rFonts w:ascii="Arial" w:hAnsi="Arial" w:cs="Arial"/>
          <w:b/>
          <w:bCs/>
          <w:sz w:val="24"/>
        </w:rPr>
        <w:t>number of LCIDs</w:t>
      </w:r>
      <w:r w:rsidR="00531DFC">
        <w:rPr>
          <w:rFonts w:ascii="Arial" w:hAnsi="Arial" w:cs="Arial"/>
          <w:b/>
          <w:bCs/>
          <w:sz w:val="24"/>
        </w:rPr>
        <w:t xml:space="preserve"> and </w:t>
      </w:r>
      <w:r w:rsidR="000E1D7E">
        <w:rPr>
          <w:rFonts w:ascii="Arial" w:hAnsi="Arial" w:cs="Arial"/>
          <w:b/>
          <w:bCs/>
          <w:sz w:val="24"/>
        </w:rPr>
        <w:t xml:space="preserve">LCGs </w:t>
      </w:r>
      <w:r w:rsidR="00403C0C">
        <w:rPr>
          <w:rFonts w:ascii="Arial" w:hAnsi="Arial" w:cs="Arial"/>
          <w:b/>
          <w:bCs/>
          <w:sz w:val="24"/>
        </w:rPr>
        <w:t>for IAB</w:t>
      </w:r>
    </w:p>
    <w:p w14:paraId="2BC7E79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NR_</w:t>
      </w:r>
      <w:r w:rsidR="00944838">
        <w:rPr>
          <w:rFonts w:ascii="Arial" w:hAnsi="Arial" w:cs="Arial"/>
          <w:b/>
          <w:bCs/>
          <w:sz w:val="24"/>
        </w:rPr>
        <w:t>IAB</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944838">
        <w:rPr>
          <w:rFonts w:ascii="Arial" w:hAnsi="Arial" w:cs="Arial"/>
          <w:b/>
          <w:bCs/>
          <w:sz w:val="24"/>
        </w:rPr>
        <w:t>6</w:t>
      </w:r>
    </w:p>
    <w:p w14:paraId="2F0B834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7B77628" w14:textId="77777777" w:rsidR="00CD4C7B" w:rsidRPr="006E13D1" w:rsidRDefault="00CD4C7B" w:rsidP="00CD4C7B">
      <w:pPr>
        <w:pStyle w:val="Heading1"/>
      </w:pPr>
      <w:r w:rsidRPr="006E13D1">
        <w:t>1</w:t>
      </w:r>
      <w:r w:rsidRPr="006E13D1">
        <w:tab/>
      </w:r>
      <w:r w:rsidR="0056573F">
        <w:t>Introduction</w:t>
      </w:r>
    </w:p>
    <w:p w14:paraId="043CCE0D" w14:textId="77777777" w:rsidR="00CD4C7B" w:rsidRDefault="008C4B76" w:rsidP="00CD4C7B">
      <w:r>
        <w:t xml:space="preserve">The following recommendation from the study item was listed in the </w:t>
      </w:r>
      <w:hyperlink r:id="rId12" w:history="1">
        <w:r w:rsidRPr="001F255A">
          <w:rPr>
            <w:rStyle w:val="Hyperlink"/>
          </w:rPr>
          <w:t>T</w:t>
        </w:r>
        <w:r w:rsidR="00BE6283" w:rsidRPr="001F255A">
          <w:rPr>
            <w:rStyle w:val="Hyperlink"/>
          </w:rPr>
          <w:t>R 38.</w:t>
        </w:r>
        <w:r w:rsidR="006A4B7C" w:rsidRPr="001F255A">
          <w:rPr>
            <w:rStyle w:val="Hyperlink"/>
          </w:rPr>
          <w:t>874</w:t>
        </w:r>
      </w:hyperlink>
      <w:r w:rsidR="006A4B7C">
        <w:t>:</w:t>
      </w:r>
    </w:p>
    <w:tbl>
      <w:tblPr>
        <w:tblStyle w:val="TableGrid"/>
        <w:tblW w:w="0" w:type="auto"/>
        <w:tblLook w:val="04A0" w:firstRow="1" w:lastRow="0" w:firstColumn="1" w:lastColumn="0" w:noHBand="0" w:noVBand="1"/>
      </w:tblPr>
      <w:tblGrid>
        <w:gridCol w:w="9631"/>
      </w:tblGrid>
      <w:tr w:rsidR="00F01253" w14:paraId="30570388" w14:textId="77777777" w:rsidTr="00F01253">
        <w:tc>
          <w:tcPr>
            <w:tcW w:w="9631" w:type="dxa"/>
            <w:shd w:val="clear" w:color="auto" w:fill="F2F2F2" w:themeFill="background1" w:themeFillShade="F2"/>
          </w:tcPr>
          <w:p w14:paraId="2BB98351" w14:textId="77777777" w:rsidR="00F01253" w:rsidRPr="00F01253" w:rsidRDefault="00F01253" w:rsidP="00F01253">
            <w:pPr>
              <w:overflowPunct w:val="0"/>
              <w:autoSpaceDE w:val="0"/>
              <w:autoSpaceDN w:val="0"/>
              <w:adjustRightInd w:val="0"/>
              <w:textAlignment w:val="baseline"/>
              <w:rPr>
                <w:lang w:eastAsia="zh-CN"/>
              </w:rPr>
            </w:pPr>
            <w:r w:rsidRPr="00F01253">
              <w:rPr>
                <w:lang w:eastAsia="zh-CN"/>
              </w:rPr>
              <w:t>For architecture 1a, RAN2 studied many-to-one and one-to-one bearer mapping options. An IAB system that supports both bearer mapping options is recommended for Rel.16 work item.</w:t>
            </w:r>
          </w:p>
          <w:p w14:paraId="06EF95EB" w14:textId="77777777" w:rsidR="00F01253" w:rsidRPr="00F01253" w:rsidRDefault="00F01253" w:rsidP="00F01253">
            <w:pPr>
              <w:overflowPunct w:val="0"/>
              <w:autoSpaceDE w:val="0"/>
              <w:autoSpaceDN w:val="0"/>
              <w:adjustRightInd w:val="0"/>
              <w:textAlignment w:val="baseline"/>
              <w:rPr>
                <w:rFonts w:eastAsia="SimSun"/>
                <w:kern w:val="2"/>
                <w:lang w:eastAsia="zh-CN"/>
              </w:rPr>
            </w:pPr>
            <w:r w:rsidRPr="00F01253">
              <w:rPr>
                <w:lang w:eastAsia="ja-JP"/>
              </w:rPr>
              <w:t>RAN2 studied design examples, which support both bearer mapping options.</w:t>
            </w:r>
            <w:r w:rsidRPr="00F01253">
              <w:rPr>
                <w:lang w:eastAsia="zh-CN"/>
              </w:rPr>
              <w:t xml:space="preserve"> </w:t>
            </w:r>
            <w:r w:rsidRPr="00F01253">
              <w:rPr>
                <w:rFonts w:eastAsia="SimSun"/>
                <w:kern w:val="2"/>
                <w:lang w:eastAsia="zh-CN"/>
              </w:rPr>
              <w:t>Design example 1 (section 8.2.10.1) is recommended for the work item. In this design, the adaptation layer resides above RLC, and LCID extension is used to increase the number of UE-bearers supported by the IAB-node with one-to-one bearer mapping.</w:t>
            </w:r>
            <w:r w:rsidRPr="00F01253">
              <w:rPr>
                <w:lang w:eastAsia="ja-JP"/>
              </w:rPr>
              <w:t xml:space="preserve"> This LCID extension only applies to backhaul RLC channels.</w:t>
            </w:r>
          </w:p>
        </w:tc>
      </w:tr>
    </w:tbl>
    <w:p w14:paraId="152F43DD" w14:textId="77777777" w:rsidR="006A45A2" w:rsidRDefault="006A45A2" w:rsidP="00CD4C7B"/>
    <w:p w14:paraId="514B2563" w14:textId="1D90BFB5" w:rsidR="002B4C3B" w:rsidRPr="006E13D1" w:rsidRDefault="007A1D41" w:rsidP="00CD4C7B">
      <w:r>
        <w:t xml:space="preserve">In this contribution we discuss the </w:t>
      </w:r>
      <w:r w:rsidR="006A45A2">
        <w:t>required LCID</w:t>
      </w:r>
      <w:r w:rsidR="00531DFC">
        <w:t xml:space="preserve"> (Logical Channel Identification)</w:t>
      </w:r>
      <w:r w:rsidR="006A45A2">
        <w:t xml:space="preserve"> space for the use of IAB</w:t>
      </w:r>
      <w:r w:rsidR="002B6444">
        <w:t xml:space="preserve"> as well as the </w:t>
      </w:r>
      <w:r w:rsidR="000E1D7E">
        <w:t>impact on the number of required LCGs</w:t>
      </w:r>
      <w:r w:rsidR="00531DFC">
        <w:t xml:space="preserve"> (Logical Channel Group)</w:t>
      </w:r>
      <w:r w:rsidR="006A45A2">
        <w:t>.</w:t>
      </w:r>
    </w:p>
    <w:p w14:paraId="4AE63855" w14:textId="77777777" w:rsidR="00CD4C7B" w:rsidRPr="006E13D1" w:rsidRDefault="00CD4C7B" w:rsidP="00CD4C7B">
      <w:pPr>
        <w:pStyle w:val="Heading1"/>
      </w:pPr>
      <w:r w:rsidRPr="006E13D1">
        <w:t>2</w:t>
      </w:r>
      <w:r w:rsidRPr="006E13D1">
        <w:tab/>
      </w:r>
      <w:r w:rsidR="006A45A2">
        <w:t>Discussion</w:t>
      </w:r>
    </w:p>
    <w:p w14:paraId="518AA714" w14:textId="607B5185" w:rsidR="00531DFC" w:rsidRDefault="00531DFC" w:rsidP="00531DFC">
      <w:pPr>
        <w:pStyle w:val="Heading2"/>
      </w:pPr>
      <w:r>
        <w:t>2.1</w:t>
      </w:r>
      <w:r>
        <w:tab/>
        <w:t>LCID space for IAB</w:t>
      </w:r>
    </w:p>
    <w:p w14:paraId="7D0BE7E5" w14:textId="41255DC2" w:rsidR="00D522B2" w:rsidRDefault="00300FAB" w:rsidP="0020250E">
      <w:r>
        <w:t xml:space="preserve">Given the adaptation layer </w:t>
      </w:r>
      <w:r w:rsidR="00AC4C23">
        <w:t xml:space="preserve">residing above RLC, </w:t>
      </w:r>
      <w:r w:rsidR="00903CFE">
        <w:t xml:space="preserve">for </w:t>
      </w:r>
      <w:r w:rsidR="00AC4C23">
        <w:t xml:space="preserve">each one-to-one </w:t>
      </w:r>
      <w:r w:rsidR="00903CFE">
        <w:t xml:space="preserve">mapped </w:t>
      </w:r>
      <w:r w:rsidR="006A4F0C">
        <w:t>bearer</w:t>
      </w:r>
      <w:r w:rsidR="00903CFE">
        <w:t>,</w:t>
      </w:r>
      <w:r w:rsidR="006A4F0C">
        <w:t xml:space="preserve"> one LCID</w:t>
      </w:r>
      <w:r w:rsidR="007A4994">
        <w:t xml:space="preserve"> needs </w:t>
      </w:r>
      <w:r w:rsidR="006A4F0C">
        <w:t xml:space="preserve">to be reserved </w:t>
      </w:r>
      <w:r w:rsidR="007A4994">
        <w:t>for each hop</w:t>
      </w:r>
      <w:r w:rsidR="00AB6B82">
        <w:t xml:space="preserve">. Hence, </w:t>
      </w:r>
      <w:r w:rsidR="00A43DA7">
        <w:t xml:space="preserve">the number of required LCID space </w:t>
      </w:r>
      <w:r w:rsidR="007065F0">
        <w:t>should be</w:t>
      </w:r>
      <w:r w:rsidR="00A43DA7">
        <w:t xml:space="preserve"> determined based on how many </w:t>
      </w:r>
      <w:r w:rsidR="007065F0">
        <w:t>such bearers the IAB Donor</w:t>
      </w:r>
      <w:r w:rsidR="008B37D4">
        <w:t xml:space="preserve"> might </w:t>
      </w:r>
      <w:r w:rsidR="0020250E">
        <w:t xml:space="preserve">be </w:t>
      </w:r>
      <w:r w:rsidR="008B37D4">
        <w:t>require</w:t>
      </w:r>
      <w:r w:rsidR="0020250E">
        <w:t>d</w:t>
      </w:r>
      <w:r w:rsidR="008B37D4">
        <w:t xml:space="preserve"> to </w:t>
      </w:r>
      <w:r w:rsidR="0020250E">
        <w:t>handle</w:t>
      </w:r>
      <w:r w:rsidR="008B37D4">
        <w:t>.</w:t>
      </w:r>
      <w:r w:rsidR="0020250E">
        <w:t xml:space="preserve"> </w:t>
      </w:r>
    </w:p>
    <w:p w14:paraId="4CCC4649" w14:textId="74244F9F" w:rsidR="0020250E" w:rsidRDefault="0020250E" w:rsidP="0020250E">
      <w:r>
        <w:t xml:space="preserve">NR Rel-15 supports 32 LCIDs solely for the use of SRBs (3) and DRBs (up to 29) for a single UE which was motivated by the new fine granular QoS framework. </w:t>
      </w:r>
      <w:r w:rsidR="00D35F17">
        <w:t xml:space="preserve">However, </w:t>
      </w:r>
      <w:r w:rsidR="00CF35E1">
        <w:t>practically each UE will not require up to 32 one-to-one mapped bearer</w:t>
      </w:r>
      <w:r w:rsidR="00F260B2">
        <w:t>s</w:t>
      </w:r>
      <w:r w:rsidR="00CF35E1">
        <w:t xml:space="preserve"> </w:t>
      </w:r>
      <w:r w:rsidR="00770ACA">
        <w:t xml:space="preserve">but many-to-one mapping can be used for </w:t>
      </w:r>
      <w:proofErr w:type="gramStart"/>
      <w:r w:rsidR="00770ACA">
        <w:t xml:space="preserve">the </w:t>
      </w:r>
      <w:r w:rsidR="006254F0">
        <w:t xml:space="preserve">vast </w:t>
      </w:r>
      <w:r w:rsidR="00D04C99">
        <w:t>majority</w:t>
      </w:r>
      <w:r w:rsidR="00770ACA">
        <w:t xml:space="preserve"> of</w:t>
      </w:r>
      <w:proofErr w:type="gramEnd"/>
      <w:r w:rsidR="00770ACA">
        <w:t xml:space="preserve"> the traffic</w:t>
      </w:r>
      <w:r w:rsidR="00D04C99">
        <w:t xml:space="preserve">. Assuming, for instance, one IAB Donor serving </w:t>
      </w:r>
      <w:r w:rsidR="00DB61F6">
        <w:t>100 IAB nodes (either directly or indirectly, i</w:t>
      </w:r>
      <w:r w:rsidR="006254F0">
        <w:t>.</w:t>
      </w:r>
      <w:r w:rsidR="00DB61F6">
        <w:t xml:space="preserve">e., through one or multiple hops) and each IAB node serving </w:t>
      </w:r>
      <w:r w:rsidR="000E1D7E">
        <w:t>5</w:t>
      </w:r>
      <w:r w:rsidR="00DB61F6">
        <w:t>0 UEs</w:t>
      </w:r>
      <w:r w:rsidR="00F255BC">
        <w:t>, one UE requiring approximately 2 one-to-one mapped bearer</w:t>
      </w:r>
      <w:r w:rsidR="00BA0D7B">
        <w:t>s</w:t>
      </w:r>
      <w:r w:rsidR="007D1156">
        <w:t xml:space="preserve">; this would require minimum of </w:t>
      </w:r>
      <w:r w:rsidR="000E1D7E">
        <w:t>1</w:t>
      </w:r>
      <w:r w:rsidR="007D1156">
        <w:t>0 000 LCID values just for the use of the one-to-one mapped bearers.</w:t>
      </w:r>
      <w:r w:rsidR="008E3E1C">
        <w:t xml:space="preserve"> This would require </w:t>
      </w:r>
      <w:r w:rsidR="00304BA3">
        <w:t xml:space="preserve">reserving </w:t>
      </w:r>
      <w:r w:rsidR="008E3E1C">
        <w:t>at least 1</w:t>
      </w:r>
      <w:r w:rsidR="000E1D7E">
        <w:t>4</w:t>
      </w:r>
      <w:r w:rsidR="008E3E1C">
        <w:t xml:space="preserve"> bits</w:t>
      </w:r>
      <w:r w:rsidR="0074074A">
        <w:t xml:space="preserve"> (reserving 2 bytes)</w:t>
      </w:r>
      <w:r w:rsidR="008E3E1C">
        <w:t xml:space="preserve"> to indicate</w:t>
      </w:r>
      <w:r w:rsidR="00304BA3">
        <w:t xml:space="preserve"> </w:t>
      </w:r>
      <w:r w:rsidR="008E3E1C">
        <w:t xml:space="preserve">LCID </w:t>
      </w:r>
      <w:r w:rsidR="00EB67FF">
        <w:t>for each individual bearer in the</w:t>
      </w:r>
      <w:r w:rsidR="00304BA3">
        <w:t xml:space="preserve"> backhaul channels.</w:t>
      </w:r>
      <w:r w:rsidR="006D58AD">
        <w:t xml:space="preserve"> On the other hand</w:t>
      </w:r>
      <w:r w:rsidR="00EB67FF">
        <w:t xml:space="preserve">, one byte would only allow 256 </w:t>
      </w:r>
      <w:r w:rsidR="0034010B">
        <w:t xml:space="preserve">LCID values which seems rather low </w:t>
      </w:r>
      <w:r w:rsidR="003D7FC4">
        <w:t>number to allow supporting all the use cases.</w:t>
      </w:r>
    </w:p>
    <w:p w14:paraId="53B12F5E" w14:textId="3160D9B4" w:rsidR="003D7FC4" w:rsidRDefault="003D7FC4" w:rsidP="0020250E">
      <w:r>
        <w:rPr>
          <w:b/>
        </w:rPr>
        <w:t xml:space="preserve">Observation 1: </w:t>
      </w:r>
      <w:r>
        <w:t xml:space="preserve">At least </w:t>
      </w:r>
      <w:r w:rsidR="00785E77">
        <w:t>1</w:t>
      </w:r>
      <w:r w:rsidR="000E1D7E">
        <w:t>4</w:t>
      </w:r>
      <w:r w:rsidR="00785E77">
        <w:t xml:space="preserve"> bits</w:t>
      </w:r>
      <w:r>
        <w:t xml:space="preserve"> </w:t>
      </w:r>
      <w:r w:rsidR="00DB361E">
        <w:t xml:space="preserve">need to be reserved for the use of LCID space in the MAC </w:t>
      </w:r>
      <w:proofErr w:type="spellStart"/>
      <w:r w:rsidR="00DB361E">
        <w:t>subheader</w:t>
      </w:r>
      <w:proofErr w:type="spellEnd"/>
      <w:r w:rsidR="00DB361E">
        <w:t xml:space="preserve"> for the backhaul channels.</w:t>
      </w:r>
    </w:p>
    <w:p w14:paraId="6B8CA66E" w14:textId="3D259D55" w:rsidR="000E1D7E" w:rsidRPr="000E1D7E" w:rsidRDefault="000E1D7E" w:rsidP="0020250E">
      <w:pPr>
        <w:rPr>
          <w:b/>
        </w:rPr>
      </w:pPr>
      <w:r>
        <w:rPr>
          <w:b/>
        </w:rPr>
        <w:t>Proposal 1: 14 bits LCID space is supported by IAB nodes for Rel-16.</w:t>
      </w:r>
    </w:p>
    <w:p w14:paraId="2C372FDA" w14:textId="2E4495AF" w:rsidR="000E1D7E" w:rsidRDefault="00531DFC" w:rsidP="00531DFC">
      <w:pPr>
        <w:pStyle w:val="Heading2"/>
      </w:pPr>
      <w:r>
        <w:t>2.2</w:t>
      </w:r>
      <w:r>
        <w:tab/>
        <w:t>LCG space for IAB</w:t>
      </w:r>
    </w:p>
    <w:p w14:paraId="182F2C19" w14:textId="7E50DF7E" w:rsidR="00531DFC" w:rsidRDefault="00531DFC" w:rsidP="00531DFC">
      <w:r>
        <w:t>Another question that stems from the increase of the LCID space is whether the LCG space would need to be increased as well.</w:t>
      </w:r>
      <w:r w:rsidR="0079350B">
        <w:t xml:space="preserve"> The number of LCGs basically depend solely on the number of LCH (Logical Channel) priorities that can be configured in MAC whereas LCG number does not really depend on the LCID space in question – currently, Rel-15 NR supports 16 LCH priority values and 8 LCGs. This is basically because of the BSR trigger specified in </w:t>
      </w:r>
      <w:hyperlink r:id="rId13" w:history="1">
        <w:r w:rsidR="0079350B" w:rsidRPr="0079350B">
          <w:rPr>
            <w:rStyle w:val="Hyperlink"/>
          </w:rPr>
          <w:t>TS 38.321</w:t>
        </w:r>
      </w:hyperlink>
      <w:r w:rsidR="0079350B">
        <w:t>:</w:t>
      </w:r>
    </w:p>
    <w:tbl>
      <w:tblPr>
        <w:tblStyle w:val="TableGrid"/>
        <w:tblW w:w="0" w:type="auto"/>
        <w:tblLook w:val="04A0" w:firstRow="1" w:lastRow="0" w:firstColumn="1" w:lastColumn="0" w:noHBand="0" w:noVBand="1"/>
      </w:tblPr>
      <w:tblGrid>
        <w:gridCol w:w="9631"/>
      </w:tblGrid>
      <w:tr w:rsidR="0079350B" w14:paraId="6F848B56" w14:textId="77777777" w:rsidTr="0079350B">
        <w:tc>
          <w:tcPr>
            <w:tcW w:w="9631" w:type="dxa"/>
            <w:shd w:val="clear" w:color="auto" w:fill="F2F2F2" w:themeFill="background1" w:themeFillShade="F2"/>
          </w:tcPr>
          <w:p w14:paraId="31061D67" w14:textId="77777777" w:rsidR="0079350B" w:rsidRPr="0079350B" w:rsidRDefault="0079350B" w:rsidP="0079350B">
            <w:pPr>
              <w:keepNext/>
              <w:keepLines/>
              <w:spacing w:before="120"/>
              <w:ind w:left="1134" w:hanging="1134"/>
              <w:outlineLvl w:val="2"/>
              <w:rPr>
                <w:rFonts w:ascii="Arial" w:eastAsia="Malgun Gothic" w:hAnsi="Arial"/>
                <w:sz w:val="28"/>
                <w:lang w:eastAsia="ko-KR"/>
              </w:rPr>
            </w:pPr>
            <w:bookmarkStart w:id="1" w:name="_Toc20428300"/>
            <w:r w:rsidRPr="0079350B">
              <w:rPr>
                <w:rFonts w:ascii="Arial" w:eastAsia="Malgun Gothic" w:hAnsi="Arial"/>
                <w:sz w:val="28"/>
                <w:lang w:eastAsia="ko-KR"/>
              </w:rPr>
              <w:lastRenderedPageBreak/>
              <w:t>5.4.5</w:t>
            </w:r>
            <w:r w:rsidRPr="0079350B">
              <w:rPr>
                <w:rFonts w:ascii="Arial" w:eastAsia="Malgun Gothic" w:hAnsi="Arial"/>
                <w:sz w:val="28"/>
                <w:lang w:eastAsia="ko-KR"/>
              </w:rPr>
              <w:tab/>
              <w:t>Buffer Status Reporting</w:t>
            </w:r>
            <w:bookmarkEnd w:id="1"/>
          </w:p>
          <w:p w14:paraId="0F9E950E" w14:textId="77777777" w:rsidR="0079350B" w:rsidRDefault="0079350B" w:rsidP="0079350B">
            <w:pPr>
              <w:rPr>
                <w:rFonts w:eastAsia="Malgun Gothic"/>
                <w:lang w:eastAsia="ko-KR"/>
              </w:rPr>
            </w:pPr>
            <w:r>
              <w:rPr>
                <w:rFonts w:eastAsia="Malgun Gothic"/>
                <w:lang w:eastAsia="ko-KR"/>
              </w:rPr>
              <w:t>(…)</w:t>
            </w:r>
          </w:p>
          <w:p w14:paraId="52A2D1BB" w14:textId="72C52162" w:rsidR="0079350B" w:rsidRPr="0079350B" w:rsidRDefault="0079350B" w:rsidP="0079350B">
            <w:pPr>
              <w:rPr>
                <w:rFonts w:eastAsia="Malgun Gothic"/>
                <w:lang w:eastAsia="ko-KR"/>
              </w:rPr>
            </w:pPr>
            <w:r w:rsidRPr="0079350B">
              <w:rPr>
                <w:rFonts w:eastAsia="Malgun Gothic"/>
                <w:lang w:eastAsia="ko-KR"/>
              </w:rPr>
              <w:t>A BSR shall be triggered if any of the following events occur:</w:t>
            </w:r>
          </w:p>
          <w:p w14:paraId="4B54E08E" w14:textId="77777777" w:rsidR="0079350B" w:rsidRPr="0079350B" w:rsidRDefault="0079350B" w:rsidP="0079350B">
            <w:pPr>
              <w:ind w:left="568" w:hanging="284"/>
              <w:rPr>
                <w:rFonts w:eastAsia="Malgun Gothic"/>
                <w:lang w:eastAsia="ko-KR"/>
              </w:rPr>
            </w:pPr>
            <w:r w:rsidRPr="0079350B">
              <w:rPr>
                <w:rFonts w:eastAsia="Malgun Gothic"/>
                <w:lang w:eastAsia="ko-KR"/>
              </w:rPr>
              <w:t>-</w:t>
            </w:r>
            <w:r w:rsidRPr="0079350B">
              <w:rPr>
                <w:rFonts w:eastAsia="Malgun Gothic"/>
                <w:lang w:eastAsia="ko-KR"/>
              </w:rPr>
              <w:tab/>
              <w:t>UL data, for a logical channel which belongs to an LCG, becomes available to the MAC entity; and either</w:t>
            </w:r>
          </w:p>
          <w:p w14:paraId="12377776" w14:textId="77777777" w:rsidR="0079350B" w:rsidRPr="0079350B" w:rsidRDefault="0079350B" w:rsidP="0079350B">
            <w:pPr>
              <w:ind w:left="851" w:hanging="284"/>
              <w:rPr>
                <w:rFonts w:eastAsia="Malgun Gothic"/>
                <w:lang w:eastAsia="ko-KR"/>
              </w:rPr>
            </w:pPr>
            <w:r w:rsidRPr="0079350B">
              <w:rPr>
                <w:rFonts w:eastAsia="Malgun Gothic"/>
                <w:lang w:eastAsia="ko-KR"/>
              </w:rPr>
              <w:t>-</w:t>
            </w:r>
            <w:r w:rsidRPr="0079350B">
              <w:rPr>
                <w:rFonts w:eastAsia="Malgun Gothic"/>
                <w:lang w:eastAsia="ko-KR"/>
              </w:rPr>
              <w:tab/>
            </w:r>
            <w:r w:rsidRPr="0079350B">
              <w:rPr>
                <w:rFonts w:eastAsia="Malgun Gothic"/>
                <w:highlight w:val="yellow"/>
                <w:lang w:eastAsia="ko-KR"/>
              </w:rPr>
              <w:t>this UL data belongs to a logical channel with higher priority than the priority of any logical channel containing available UL data which belong to any LCG</w:t>
            </w:r>
            <w:r w:rsidRPr="0079350B">
              <w:rPr>
                <w:rFonts w:eastAsia="Malgun Gothic"/>
                <w:lang w:eastAsia="ko-KR"/>
              </w:rPr>
              <w:t>; or</w:t>
            </w:r>
          </w:p>
          <w:p w14:paraId="74EEB578" w14:textId="77777777" w:rsidR="0079350B" w:rsidRPr="0079350B" w:rsidRDefault="0079350B" w:rsidP="0079350B">
            <w:pPr>
              <w:ind w:left="851" w:hanging="284"/>
              <w:rPr>
                <w:rFonts w:eastAsia="Malgun Gothic"/>
                <w:lang w:eastAsia="ko-KR"/>
              </w:rPr>
            </w:pPr>
            <w:r w:rsidRPr="0079350B">
              <w:rPr>
                <w:rFonts w:eastAsia="Malgun Gothic"/>
                <w:lang w:eastAsia="ko-KR"/>
              </w:rPr>
              <w:t>-</w:t>
            </w:r>
            <w:r w:rsidRPr="0079350B">
              <w:rPr>
                <w:rFonts w:eastAsia="Malgun Gothic"/>
                <w:lang w:eastAsia="ko-KR"/>
              </w:rPr>
              <w:tab/>
              <w:t>none of the logical channels which belong to an LCG contains any available UL data.</w:t>
            </w:r>
          </w:p>
          <w:p w14:paraId="04B4A100" w14:textId="77777777" w:rsidR="0079350B" w:rsidRPr="0079350B" w:rsidRDefault="0079350B" w:rsidP="0079350B">
            <w:pPr>
              <w:ind w:left="568" w:hanging="284"/>
              <w:rPr>
                <w:rFonts w:eastAsia="Malgun Gothic"/>
                <w:lang w:eastAsia="ko-KR"/>
              </w:rPr>
            </w:pPr>
            <w:r w:rsidRPr="0079350B">
              <w:rPr>
                <w:rFonts w:eastAsia="Malgun Gothic"/>
                <w:lang w:eastAsia="ko-KR"/>
              </w:rPr>
              <w:tab/>
              <w:t>in which case the BSR is referred below to as 'Regular BSR';</w:t>
            </w:r>
          </w:p>
          <w:p w14:paraId="0AD6DA62" w14:textId="77777777" w:rsidR="0079350B" w:rsidRDefault="0079350B" w:rsidP="00531DFC"/>
        </w:tc>
      </w:tr>
    </w:tbl>
    <w:p w14:paraId="7F9ACEDE" w14:textId="51C8F5A7" w:rsidR="0079350B" w:rsidRDefault="0079350B" w:rsidP="00531DFC"/>
    <w:p w14:paraId="2584F105" w14:textId="15DCE3F5" w:rsidR="0079350B" w:rsidRDefault="0079350B" w:rsidP="00531DFC">
      <w:r>
        <w:t>Whenever a data for a LCH with the same priority becomes available, this would not lead to a BSR trigger because of the priority. Then it really does not matter whether such data is on the same or different LCG.</w:t>
      </w:r>
      <w:r w:rsidR="00FD387D">
        <w:t xml:space="preserve"> </w:t>
      </w:r>
    </w:p>
    <w:p w14:paraId="7FD29E7A" w14:textId="59912860" w:rsidR="0079350B" w:rsidRDefault="0079350B" w:rsidP="00531DFC">
      <w:r>
        <w:rPr>
          <w:b/>
        </w:rPr>
        <w:t xml:space="preserve">Observation 2: </w:t>
      </w:r>
      <w:r>
        <w:t>Number of required LCGs depend mainly on the number of LCH priorities that can be configured which is 16 in Rel-15 NR.</w:t>
      </w:r>
    </w:p>
    <w:p w14:paraId="30C6DB7E" w14:textId="2DD95DFC" w:rsidR="00FD387D" w:rsidRDefault="00FD387D" w:rsidP="00531DFC">
      <w:r>
        <w:t xml:space="preserve">Naturally, the </w:t>
      </w:r>
      <w:r w:rsidR="00BA0D7B">
        <w:t xml:space="preserve">parent </w:t>
      </w:r>
      <w:r>
        <w:t xml:space="preserve">node of the IAB node </w:t>
      </w:r>
      <w:r w:rsidR="00BA0D7B">
        <w:t xml:space="preserve">which </w:t>
      </w:r>
      <w:r>
        <w:t xml:space="preserve">generated </w:t>
      </w:r>
      <w:r w:rsidR="00BA0D7B">
        <w:t xml:space="preserve">the </w:t>
      </w:r>
      <w:r>
        <w:t>BSR</w:t>
      </w:r>
      <w:r w:rsidR="00BA0D7B">
        <w:t>,</w:t>
      </w:r>
      <w:r>
        <w:t xml:space="preserve"> could more granularly detect which LCHs had data if more LCGs </w:t>
      </w:r>
      <w:r w:rsidR="00BA0D7B">
        <w:t>were</w:t>
      </w:r>
      <w:r>
        <w:t xml:space="preserve"> defined. However, as this would not lead to any different behaviour in BSR triggering, it seems to be </w:t>
      </w:r>
      <w:proofErr w:type="gramStart"/>
      <w:r>
        <w:t>sufficient</w:t>
      </w:r>
      <w:proofErr w:type="gramEnd"/>
      <w:r>
        <w:t xml:space="preserve"> to use the 8 LCGs defined for Rel-15 also for IAB in Rel-16</w:t>
      </w:r>
      <w:r w:rsidR="00BA0D7B">
        <w:t>, thus,</w:t>
      </w:r>
      <w:r>
        <w:t xml:space="preserve"> not </w:t>
      </w:r>
      <w:r w:rsidR="00BA0D7B">
        <w:t>requiring</w:t>
      </w:r>
      <w:r>
        <w:t xml:space="preserve"> extensive new design defining new BSR formats.</w:t>
      </w:r>
    </w:p>
    <w:p w14:paraId="1F0104D4" w14:textId="1460F1E8" w:rsidR="00FD387D" w:rsidRPr="00FD387D" w:rsidRDefault="00FD387D" w:rsidP="00531DFC">
      <w:pPr>
        <w:rPr>
          <w:b/>
        </w:rPr>
      </w:pPr>
      <w:r>
        <w:rPr>
          <w:b/>
        </w:rPr>
        <w:t>Proposal 2: Number of LCGs is not increased compared to Rel-15, i</w:t>
      </w:r>
      <w:r w:rsidR="00BA0D7B">
        <w:rPr>
          <w:b/>
        </w:rPr>
        <w:t>.</w:t>
      </w:r>
      <w:r>
        <w:rPr>
          <w:b/>
        </w:rPr>
        <w:t>e., LCG space is 8 for IAB in Rel-16.</w:t>
      </w:r>
    </w:p>
    <w:p w14:paraId="563D1E5B" w14:textId="18EBCE9D" w:rsidR="00CD4C7B" w:rsidRPr="006E13D1" w:rsidRDefault="004E152C" w:rsidP="00CD4C7B">
      <w:pPr>
        <w:pStyle w:val="Heading1"/>
      </w:pPr>
      <w:r>
        <w:t>3</w:t>
      </w:r>
      <w:r w:rsidR="00CD4C7B" w:rsidRPr="006E13D1">
        <w:tab/>
      </w:r>
      <w:r>
        <w:t>Conclusions</w:t>
      </w:r>
    </w:p>
    <w:p w14:paraId="01C26CB8" w14:textId="6F439374" w:rsidR="00CD4C7B" w:rsidRDefault="00494446" w:rsidP="00CD4C7B">
      <w:r>
        <w:t xml:space="preserve">In this contribution, the needed LCID </w:t>
      </w:r>
      <w:r w:rsidR="00FD387D">
        <w:t xml:space="preserve">and LCG </w:t>
      </w:r>
      <w:r>
        <w:t>space</w:t>
      </w:r>
      <w:r w:rsidR="00FD387D">
        <w:t>s</w:t>
      </w:r>
      <w:r>
        <w:t xml:space="preserve"> for the use of IAB was discussed</w:t>
      </w:r>
      <w:r w:rsidR="00946327">
        <w:t>, the following was observed</w:t>
      </w:r>
      <w:r w:rsidR="00FD387D">
        <w:t xml:space="preserve"> and proposed</w:t>
      </w:r>
      <w:r w:rsidR="00946327">
        <w:t>:</w:t>
      </w:r>
    </w:p>
    <w:p w14:paraId="5F9B9356" w14:textId="77777777" w:rsidR="00FD387D" w:rsidRDefault="00FD387D" w:rsidP="00FD387D">
      <w:r>
        <w:rPr>
          <w:b/>
        </w:rPr>
        <w:t xml:space="preserve">Observation 1: </w:t>
      </w:r>
      <w:r>
        <w:t xml:space="preserve">At least 14 bits need to be reserved for the use of LCID space in the MAC </w:t>
      </w:r>
      <w:proofErr w:type="spellStart"/>
      <w:r>
        <w:t>subheader</w:t>
      </w:r>
      <w:proofErr w:type="spellEnd"/>
      <w:r>
        <w:t xml:space="preserve"> for the backhaul channels.</w:t>
      </w:r>
    </w:p>
    <w:p w14:paraId="6E702308" w14:textId="77777777" w:rsidR="00FD387D" w:rsidRPr="000E1D7E" w:rsidRDefault="00FD387D" w:rsidP="00FD387D">
      <w:pPr>
        <w:rPr>
          <w:b/>
        </w:rPr>
      </w:pPr>
      <w:r>
        <w:rPr>
          <w:b/>
        </w:rPr>
        <w:t>Proposal 1: 14 bits LCID space is supported by IAB nodes for Rel-16.</w:t>
      </w:r>
    </w:p>
    <w:p w14:paraId="235597E5" w14:textId="03EE3C47" w:rsidR="00FD387D" w:rsidRDefault="00FD387D" w:rsidP="00FD387D">
      <w:r>
        <w:rPr>
          <w:b/>
        </w:rPr>
        <w:t xml:space="preserve">Observation 2: </w:t>
      </w:r>
      <w:r>
        <w:t>Number of required LCGs depend mainly on the number of LCH priorities that can be configured which is 16 in Rel-15 NR.</w:t>
      </w:r>
    </w:p>
    <w:p w14:paraId="37DBFBA9" w14:textId="662CFC10" w:rsidR="00080512" w:rsidRPr="00FD387D" w:rsidRDefault="00FD387D" w:rsidP="00FD387D">
      <w:pPr>
        <w:rPr>
          <w:b/>
        </w:rPr>
      </w:pPr>
      <w:r>
        <w:rPr>
          <w:b/>
        </w:rPr>
        <w:t>Proposal 2: Number of LCGs is not increased compared to Rel-15, i</w:t>
      </w:r>
      <w:r w:rsidR="00BA0D7B">
        <w:rPr>
          <w:b/>
        </w:rPr>
        <w:t>.</w:t>
      </w:r>
      <w:r>
        <w:rPr>
          <w:b/>
        </w:rPr>
        <w:t>e., LCG space is 8 for IAB in Rel-16.</w:t>
      </w:r>
    </w:p>
    <w:sectPr w:rsidR="00080512" w:rsidRPr="00FD38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F7687" w14:textId="77777777" w:rsidR="00297F72" w:rsidRDefault="00297F72">
      <w:r>
        <w:separator/>
      </w:r>
    </w:p>
  </w:endnote>
  <w:endnote w:type="continuationSeparator" w:id="0">
    <w:p w14:paraId="4A8A217A" w14:textId="77777777" w:rsidR="00297F72" w:rsidRDefault="0029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CC859" w14:textId="77777777" w:rsidR="00297F72" w:rsidRDefault="00297F72">
      <w:r>
        <w:separator/>
      </w:r>
    </w:p>
  </w:footnote>
  <w:footnote w:type="continuationSeparator" w:id="0">
    <w:p w14:paraId="6C7E74CB" w14:textId="77777777" w:rsidR="00297F72" w:rsidRDefault="00297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1B"/>
    <w:rsid w:val="00033397"/>
    <w:rsid w:val="00040095"/>
    <w:rsid w:val="00055FFD"/>
    <w:rsid w:val="000649FF"/>
    <w:rsid w:val="00065787"/>
    <w:rsid w:val="000746DE"/>
    <w:rsid w:val="00080512"/>
    <w:rsid w:val="00090468"/>
    <w:rsid w:val="000B7BCF"/>
    <w:rsid w:val="000C522B"/>
    <w:rsid w:val="000D58AB"/>
    <w:rsid w:val="000E1D7E"/>
    <w:rsid w:val="000E33FA"/>
    <w:rsid w:val="000F74C2"/>
    <w:rsid w:val="00112F1A"/>
    <w:rsid w:val="00144BD6"/>
    <w:rsid w:val="00145075"/>
    <w:rsid w:val="00160021"/>
    <w:rsid w:val="001741A0"/>
    <w:rsid w:val="00175FA0"/>
    <w:rsid w:val="00194CD0"/>
    <w:rsid w:val="001952FD"/>
    <w:rsid w:val="001B49C9"/>
    <w:rsid w:val="001B5A8F"/>
    <w:rsid w:val="001C4F79"/>
    <w:rsid w:val="001F168B"/>
    <w:rsid w:val="001F255A"/>
    <w:rsid w:val="001F7831"/>
    <w:rsid w:val="0020250E"/>
    <w:rsid w:val="00204045"/>
    <w:rsid w:val="0020712B"/>
    <w:rsid w:val="0022606D"/>
    <w:rsid w:val="00231728"/>
    <w:rsid w:val="002610D8"/>
    <w:rsid w:val="002747EC"/>
    <w:rsid w:val="002855BF"/>
    <w:rsid w:val="00297F72"/>
    <w:rsid w:val="002B0AAA"/>
    <w:rsid w:val="002B4C3B"/>
    <w:rsid w:val="002B6444"/>
    <w:rsid w:val="002E42D6"/>
    <w:rsid w:val="002F0D22"/>
    <w:rsid w:val="00300FAB"/>
    <w:rsid w:val="00304BA3"/>
    <w:rsid w:val="0031376E"/>
    <w:rsid w:val="003172DC"/>
    <w:rsid w:val="00325AE3"/>
    <w:rsid w:val="00326069"/>
    <w:rsid w:val="0034010B"/>
    <w:rsid w:val="0035410F"/>
    <w:rsid w:val="0035462D"/>
    <w:rsid w:val="00356DAD"/>
    <w:rsid w:val="00364B41"/>
    <w:rsid w:val="00396161"/>
    <w:rsid w:val="003A41EF"/>
    <w:rsid w:val="003B40AD"/>
    <w:rsid w:val="003C4E37"/>
    <w:rsid w:val="003D7FC4"/>
    <w:rsid w:val="003E16BE"/>
    <w:rsid w:val="003F4E28"/>
    <w:rsid w:val="004006E8"/>
    <w:rsid w:val="00401855"/>
    <w:rsid w:val="00403C0C"/>
    <w:rsid w:val="0046207D"/>
    <w:rsid w:val="00465587"/>
    <w:rsid w:val="00477455"/>
    <w:rsid w:val="00494446"/>
    <w:rsid w:val="004A1F7B"/>
    <w:rsid w:val="004B4BD7"/>
    <w:rsid w:val="004C44D2"/>
    <w:rsid w:val="004D3578"/>
    <w:rsid w:val="004D380D"/>
    <w:rsid w:val="004E152C"/>
    <w:rsid w:val="004E213A"/>
    <w:rsid w:val="00503171"/>
    <w:rsid w:val="00506C28"/>
    <w:rsid w:val="00531DFC"/>
    <w:rsid w:val="00534DA0"/>
    <w:rsid w:val="00543E6C"/>
    <w:rsid w:val="005566D9"/>
    <w:rsid w:val="00561B34"/>
    <w:rsid w:val="00564917"/>
    <w:rsid w:val="00565087"/>
    <w:rsid w:val="0056573F"/>
    <w:rsid w:val="005808D3"/>
    <w:rsid w:val="005A6D08"/>
    <w:rsid w:val="005B2576"/>
    <w:rsid w:val="00611566"/>
    <w:rsid w:val="006135FC"/>
    <w:rsid w:val="00617423"/>
    <w:rsid w:val="006254F0"/>
    <w:rsid w:val="00646D99"/>
    <w:rsid w:val="00656910"/>
    <w:rsid w:val="00671A5F"/>
    <w:rsid w:val="006A45A2"/>
    <w:rsid w:val="006A463E"/>
    <w:rsid w:val="006A4B7C"/>
    <w:rsid w:val="006A4F0C"/>
    <w:rsid w:val="006C66D8"/>
    <w:rsid w:val="006D1E24"/>
    <w:rsid w:val="006D58AD"/>
    <w:rsid w:val="006E1417"/>
    <w:rsid w:val="006F668C"/>
    <w:rsid w:val="006F6A2C"/>
    <w:rsid w:val="007065F0"/>
    <w:rsid w:val="00710201"/>
    <w:rsid w:val="007216F5"/>
    <w:rsid w:val="007244DC"/>
    <w:rsid w:val="00726CCB"/>
    <w:rsid w:val="007342B5"/>
    <w:rsid w:val="00734A5B"/>
    <w:rsid w:val="0074074A"/>
    <w:rsid w:val="00744E76"/>
    <w:rsid w:val="00757D40"/>
    <w:rsid w:val="00770ACA"/>
    <w:rsid w:val="00781F0F"/>
    <w:rsid w:val="00785E77"/>
    <w:rsid w:val="0078727C"/>
    <w:rsid w:val="0079049D"/>
    <w:rsid w:val="0079350B"/>
    <w:rsid w:val="00793DC5"/>
    <w:rsid w:val="007A1D41"/>
    <w:rsid w:val="007A4994"/>
    <w:rsid w:val="007B18D8"/>
    <w:rsid w:val="007C0184"/>
    <w:rsid w:val="007C095F"/>
    <w:rsid w:val="007C2DD0"/>
    <w:rsid w:val="007C3FE4"/>
    <w:rsid w:val="007D1156"/>
    <w:rsid w:val="007E0303"/>
    <w:rsid w:val="008028A4"/>
    <w:rsid w:val="00813245"/>
    <w:rsid w:val="00847C81"/>
    <w:rsid w:val="008768CA"/>
    <w:rsid w:val="00877EF9"/>
    <w:rsid w:val="00880559"/>
    <w:rsid w:val="008A21C6"/>
    <w:rsid w:val="008B37D4"/>
    <w:rsid w:val="008B5306"/>
    <w:rsid w:val="008C4B76"/>
    <w:rsid w:val="008D2E4D"/>
    <w:rsid w:val="008D3AE5"/>
    <w:rsid w:val="008E3E1C"/>
    <w:rsid w:val="008F396F"/>
    <w:rsid w:val="0090271F"/>
    <w:rsid w:val="00902DB9"/>
    <w:rsid w:val="00903CFE"/>
    <w:rsid w:val="0090418A"/>
    <w:rsid w:val="0090466A"/>
    <w:rsid w:val="00934499"/>
    <w:rsid w:val="00936071"/>
    <w:rsid w:val="00940212"/>
    <w:rsid w:val="00942EC2"/>
    <w:rsid w:val="00944838"/>
    <w:rsid w:val="00946327"/>
    <w:rsid w:val="00961B32"/>
    <w:rsid w:val="00962509"/>
    <w:rsid w:val="00970DB3"/>
    <w:rsid w:val="00974BB0"/>
    <w:rsid w:val="009925B0"/>
    <w:rsid w:val="00995317"/>
    <w:rsid w:val="009A0AF3"/>
    <w:rsid w:val="009B07CD"/>
    <w:rsid w:val="009C19E9"/>
    <w:rsid w:val="009D74A6"/>
    <w:rsid w:val="009F00F5"/>
    <w:rsid w:val="00A0645A"/>
    <w:rsid w:val="00A10F02"/>
    <w:rsid w:val="00A204CA"/>
    <w:rsid w:val="00A43DA7"/>
    <w:rsid w:val="00A53724"/>
    <w:rsid w:val="00A77DD5"/>
    <w:rsid w:val="00A82346"/>
    <w:rsid w:val="00A875C2"/>
    <w:rsid w:val="00A9671C"/>
    <w:rsid w:val="00AA0391"/>
    <w:rsid w:val="00AA1553"/>
    <w:rsid w:val="00AB6B82"/>
    <w:rsid w:val="00AC4C23"/>
    <w:rsid w:val="00AE2D13"/>
    <w:rsid w:val="00B00BD5"/>
    <w:rsid w:val="00B033AE"/>
    <w:rsid w:val="00B05380"/>
    <w:rsid w:val="00B05962"/>
    <w:rsid w:val="00B15449"/>
    <w:rsid w:val="00B27303"/>
    <w:rsid w:val="00B33D38"/>
    <w:rsid w:val="00B47FD1"/>
    <w:rsid w:val="00B516BB"/>
    <w:rsid w:val="00B84DB2"/>
    <w:rsid w:val="00BA0D7B"/>
    <w:rsid w:val="00BC3555"/>
    <w:rsid w:val="00BE6283"/>
    <w:rsid w:val="00BF2B10"/>
    <w:rsid w:val="00C12B51"/>
    <w:rsid w:val="00C24650"/>
    <w:rsid w:val="00C25465"/>
    <w:rsid w:val="00C33079"/>
    <w:rsid w:val="00C744AE"/>
    <w:rsid w:val="00C76569"/>
    <w:rsid w:val="00C83A13"/>
    <w:rsid w:val="00C9068C"/>
    <w:rsid w:val="00C92967"/>
    <w:rsid w:val="00CA3D0C"/>
    <w:rsid w:val="00CA654B"/>
    <w:rsid w:val="00CB72B8"/>
    <w:rsid w:val="00CD4C7B"/>
    <w:rsid w:val="00CF35E1"/>
    <w:rsid w:val="00D04C99"/>
    <w:rsid w:val="00D2240B"/>
    <w:rsid w:val="00D33BE3"/>
    <w:rsid w:val="00D35F17"/>
    <w:rsid w:val="00D3792D"/>
    <w:rsid w:val="00D47341"/>
    <w:rsid w:val="00D522B2"/>
    <w:rsid w:val="00D55E47"/>
    <w:rsid w:val="00D62E19"/>
    <w:rsid w:val="00D65193"/>
    <w:rsid w:val="00D67CD1"/>
    <w:rsid w:val="00D738D6"/>
    <w:rsid w:val="00D80795"/>
    <w:rsid w:val="00D854BE"/>
    <w:rsid w:val="00D8762E"/>
    <w:rsid w:val="00D87E00"/>
    <w:rsid w:val="00D9134D"/>
    <w:rsid w:val="00D96D11"/>
    <w:rsid w:val="00DA7A03"/>
    <w:rsid w:val="00DB0DB8"/>
    <w:rsid w:val="00DB1818"/>
    <w:rsid w:val="00DB361E"/>
    <w:rsid w:val="00DB61F6"/>
    <w:rsid w:val="00DC309B"/>
    <w:rsid w:val="00DC4DA2"/>
    <w:rsid w:val="00E46C08"/>
    <w:rsid w:val="00E471CF"/>
    <w:rsid w:val="00E62835"/>
    <w:rsid w:val="00E77645"/>
    <w:rsid w:val="00E83697"/>
    <w:rsid w:val="00EB0897"/>
    <w:rsid w:val="00EB67FF"/>
    <w:rsid w:val="00EC4A25"/>
    <w:rsid w:val="00EC4F37"/>
    <w:rsid w:val="00EC5EC4"/>
    <w:rsid w:val="00ED71DA"/>
    <w:rsid w:val="00EE6878"/>
    <w:rsid w:val="00EF0880"/>
    <w:rsid w:val="00EF14D3"/>
    <w:rsid w:val="00F01253"/>
    <w:rsid w:val="00F025A2"/>
    <w:rsid w:val="00F06264"/>
    <w:rsid w:val="00F07388"/>
    <w:rsid w:val="00F2026E"/>
    <w:rsid w:val="00F2210A"/>
    <w:rsid w:val="00F255BC"/>
    <w:rsid w:val="00F260B2"/>
    <w:rsid w:val="00F36762"/>
    <w:rsid w:val="00F37743"/>
    <w:rsid w:val="00F54A3D"/>
    <w:rsid w:val="00F54CB0"/>
    <w:rsid w:val="00F54E54"/>
    <w:rsid w:val="00F653B8"/>
    <w:rsid w:val="00F71B89"/>
    <w:rsid w:val="00F71C0E"/>
    <w:rsid w:val="00F7353C"/>
    <w:rsid w:val="00F76F8F"/>
    <w:rsid w:val="00F93CB7"/>
    <w:rsid w:val="00F941DF"/>
    <w:rsid w:val="00FA1266"/>
    <w:rsid w:val="00FB36FA"/>
    <w:rsid w:val="00FB390C"/>
    <w:rsid w:val="00FC1192"/>
    <w:rsid w:val="00FD387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CBE82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1F255A"/>
    <w:rPr>
      <w:color w:val="605E5C"/>
      <w:shd w:val="clear" w:color="auto" w:fill="E1DFDD"/>
    </w:rPr>
  </w:style>
  <w:style w:type="table" w:styleId="TableGrid">
    <w:name w:val="Table Grid"/>
    <w:basedOn w:val="TableNormal"/>
    <w:rsid w:val="00F0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7244DC"/>
    <w:rPr>
      <w:rFonts w:ascii="Arial" w:hAnsi="Arial"/>
      <w:b/>
      <w:lang w:eastAsia="en-US"/>
    </w:rPr>
  </w:style>
  <w:style w:type="character" w:customStyle="1" w:styleId="TFChar">
    <w:name w:val="TF Char"/>
    <w:link w:val="TF"/>
    <w:rsid w:val="007244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19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874/38874-g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5AIRPNAIUNRU-859666464-5627</_dlc_DocId>
    <_dlc_DocIdUrl xmlns="71c5aaf6-e6ce-465b-b873-5148d2a4c105">
      <Url>https://nokia.sharepoint.com/sites/c5g/e2earch/_layouts/15/DocIdRedir.aspx?ID=5AIRPNAIUNRU-859666464-5627</Url>
      <Description>5AIRPNAIUNRU-859666464-5627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7440346-846C-47BB-A208-4E03E00C083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CD501BD-D8A3-4C7D-BDB7-2C0F071A48DD}">
  <ds:schemaRefs>
    <ds:schemaRef ds:uri="http://schemas.microsoft.com/sharepoint/v3/contenttype/forms"/>
  </ds:schemaRefs>
</ds:datastoreItem>
</file>

<file path=customXml/itemProps3.xml><?xml version="1.0" encoding="utf-8"?>
<ds:datastoreItem xmlns:ds="http://schemas.openxmlformats.org/officeDocument/2006/customXml" ds:itemID="{9C090B1A-A62A-436E-81BE-3CA2CBC3FD12}">
  <ds:schemaRefs>
    <ds:schemaRef ds:uri="Microsoft.SharePoint.Taxonomy.ContentTypeSync"/>
  </ds:schemaRefs>
</ds:datastoreItem>
</file>

<file path=customXml/itemProps4.xml><?xml version="1.0" encoding="utf-8"?>
<ds:datastoreItem xmlns:ds="http://schemas.openxmlformats.org/officeDocument/2006/customXml" ds:itemID="{B016AD78-5B76-4B89-A7C5-A82D781CB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23E877-DEFB-4AA1-B364-87BDB7A354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2019-10-03T11:10:00Z</dcterms:created>
  <dcterms:modified xsi:type="dcterms:W3CDTF">2019-10-03T11:10:00Z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90bc373c-65f0-4350-ad39-a1544888582b</vt:lpwstr>
  </property>
</Properties>
</file>